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116580" cy="187896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Адміністрацыя Ленінскага раёна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г. Гродна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УПРАЎЛЕННЕ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САЦЫЯЛЬНАЙ АБАРОНЫ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АДМ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ІНІСТРАЦЫІ ЛЕНІНСКАГА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РАЁНА г. ГРОДНА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вул. Лермантава, 2, 230023  г. Гродна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тэл./факс (80152) 61 12 03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эл.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пошта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lenadm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grodnolen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0;width:245.4pt;height:14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Lo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" filled="f" stroked="f"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sz w:val="24"/>
                          <w:szCs w:val="24"/>
                          <w:lang w:val="be-BY"/>
                        </w:rPr>
                        <w:t>Адміністрацыя Ленінскага раёна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sz w:val="24"/>
                          <w:szCs w:val="24"/>
                          <w:lang w:val="be-BY"/>
                        </w:rPr>
                        <w:t>г. Гродна</w:t>
                      </w:r>
                    </w:p>
                    <w:p>
                      <w:pPr>
                        <w:jc w:val="center"/>
                        <w:rPr>
                          <w:b/>
                          <w:sz w:val="25"/>
                          <w:szCs w:val="25"/>
                          <w:lang w:val="be-BY"/>
                        </w:rPr>
                      </w:pPr>
                      <w:r>
                        <w:rPr>
                          <w:b/>
                          <w:sz w:val="25"/>
                          <w:szCs w:val="25"/>
                          <w:lang w:val="be-BY"/>
                        </w:rPr>
                        <w:t>УПРАЎЛЕННЕ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b/>
                          <w:sz w:val="25"/>
                          <w:szCs w:val="25"/>
                          <w:lang w:val="be-BY"/>
                        </w:rPr>
                        <w:t>САЦЫЯЛЬНАЙ АБАРОНЫ</w:t>
                      </w:r>
                    </w:p>
                    <w:p>
                      <w:pPr>
                        <w:jc w:val="center"/>
                        <w:rPr>
                          <w:b/>
                          <w:sz w:val="25"/>
                          <w:szCs w:val="25"/>
                          <w:lang w:val="be-BY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>АДМ</w:t>
                      </w:r>
                      <w:r>
                        <w:rPr>
                          <w:b/>
                          <w:sz w:val="25"/>
                          <w:szCs w:val="25"/>
                          <w:lang w:val="be-BY"/>
                        </w:rPr>
                        <w:t>ІНІСТРАЦЫІ ЛЕНІНСКАГА</w:t>
                      </w:r>
                    </w:p>
                    <w:p>
                      <w:pPr>
                        <w:jc w:val="center"/>
                        <w:rPr>
                          <w:b/>
                          <w:sz w:val="25"/>
                          <w:szCs w:val="25"/>
                          <w:lang w:val="be-BY"/>
                        </w:rPr>
                      </w:pPr>
                      <w:r>
                        <w:rPr>
                          <w:b/>
                          <w:sz w:val="25"/>
                          <w:szCs w:val="25"/>
                          <w:lang w:val="be-BY"/>
                        </w:rPr>
                        <w:t>РАЁНА г. ГРОДНА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  <w:lang w:val="be-BY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sz w:val="24"/>
                          <w:szCs w:val="24"/>
                          <w:lang w:val="be-BY"/>
                        </w:rPr>
                        <w:t>вул. Лермантава, 2, 230023  г. Гродна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sz w:val="24"/>
                          <w:szCs w:val="24"/>
                          <w:lang w:val="be-BY"/>
                        </w:rPr>
                        <w:t>тэл./факс (80152) 61 12 03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эл.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пошта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lenadm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@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grodnolen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019425" cy="1878965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Администрация Ленинского района 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г. Гродно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УПРАВЛЕНИЕ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СОЦИАЛЬНОЙ ЗАЩИТЫ АДМИНИСТРАЦИИ ЛЕНИНСКОГО РАЙОНА г. ГРОДНО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ул. Лермонтова, 2, </w:t>
                            </w:r>
                            <w:smartTag w:uri="urn:schemas-microsoft-com:office:smarttags" w:element="metricconverter">
                              <w:smartTagPr>
                                <w:attr w:name="ProductID" w:val="230023 г"/>
                              </w:smartTagPr>
                              <w:r>
                                <w:rPr>
                                  <w:sz w:val="24"/>
                                  <w:szCs w:val="24"/>
                                </w:rPr>
                                <w:t>230023 г</w:t>
                              </w:r>
                            </w:smartTag>
                            <w:r>
                              <w:rPr>
                                <w:sz w:val="24"/>
                                <w:szCs w:val="24"/>
                              </w:rPr>
                              <w:t xml:space="preserve">. Гродно 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тел./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факс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80152) 61 12 03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эл. почта: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lenadm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grodnolen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43pt;margin-top:0;width:237.75pt;height:14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VB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" filled="f" stroked="f"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Администрация Ленинского района 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г. Гродно</w:t>
                      </w:r>
                    </w:p>
                    <w:p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 xml:space="preserve">УПРАВЛЕНИЕ </w:t>
                      </w:r>
                    </w:p>
                    <w:p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>СОЦИАЛЬНОЙ ЗАЩИТЫ АДМИНИСТРАЦИИ ЛЕНИНСКОГО РАЙОНА г. ГРОДНО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ул. Лермонтова, 2, </w:t>
                      </w:r>
                      <w:smartTag w:uri="urn:schemas-microsoft-com:office:smarttags" w:element="metricconverter">
                        <w:smartTagPr>
                          <w:attr w:name="ProductID" w:val="230023 г"/>
                        </w:smartTagPr>
                        <w:r>
                          <w:rPr>
                            <w:sz w:val="24"/>
                            <w:szCs w:val="24"/>
                          </w:rPr>
                          <w:t>230023 г</w:t>
                        </w:r>
                      </w:smartTag>
                      <w:r>
                        <w:rPr>
                          <w:sz w:val="24"/>
                          <w:szCs w:val="24"/>
                        </w:rPr>
                        <w:t xml:space="preserve">. Гродно 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тел./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факс  (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80152) 61 12 03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эл. почта: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lenadm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@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grodnolen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by</w:t>
                      </w:r>
                      <w:proofErr w:type="spellEnd"/>
                    </w:p>
                    <w:p>
                      <w:pPr>
                        <w:spacing w:line="1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-146050</wp:posOffset>
                </wp:positionV>
                <wp:extent cx="266700" cy="102235"/>
                <wp:effectExtent l="0" t="381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9pt;margin-top:-11.5pt;width:21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9/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" filled="f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  <w:lang w:val="be-BY"/>
        </w:rPr>
      </w:pPr>
    </w:p>
    <w:p>
      <w:pPr>
        <w:rPr>
          <w:sz w:val="30"/>
          <w:szCs w:val="30"/>
          <w:lang w:val="be-BY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 № 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на № ____________ ад ________________</w:t>
      </w:r>
    </w:p>
    <w:p>
      <w:pPr>
        <w:tabs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Руководителю</w:t>
      </w:r>
    </w:p>
    <w:p>
      <w:pPr>
        <w:tabs>
          <w:tab w:val="left" w:pos="0"/>
        </w:tabs>
        <w:rPr>
          <w:sz w:val="30"/>
          <w:szCs w:val="30"/>
        </w:rPr>
      </w:pPr>
    </w:p>
    <w:p>
      <w:pPr>
        <w:tabs>
          <w:tab w:val="left" w:pos="0"/>
        </w:tabs>
        <w:rPr>
          <w:sz w:val="30"/>
          <w:szCs w:val="30"/>
        </w:rPr>
      </w:pPr>
    </w:p>
    <w:p>
      <w:p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Об информировании</w:t>
      </w:r>
    </w:p>
    <w:p>
      <w:pPr>
        <w:tabs>
          <w:tab w:val="left" w:pos="0"/>
        </w:tabs>
        <w:spacing w:line="360" w:lineRule="auto"/>
        <w:rPr>
          <w:sz w:val="30"/>
          <w:szCs w:val="30"/>
        </w:rPr>
      </w:pPr>
    </w:p>
    <w:p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 xml:space="preserve">Управление социальной защиты администрации Ленинского района г. Гродно  (далее – управление) сообщает, что </w:t>
      </w:r>
      <w:r>
        <w:rPr>
          <w:spacing w:val="-6"/>
          <w:sz w:val="28"/>
          <w:szCs w:val="28"/>
        </w:rPr>
        <w:t xml:space="preserve">27 сентября 2021 г. Президентом Республики Беларусь </w:t>
      </w:r>
      <w:r>
        <w:rPr>
          <w:spacing w:val="-6"/>
          <w:sz w:val="30"/>
          <w:szCs w:val="30"/>
        </w:rPr>
        <w:t xml:space="preserve">подписан </w:t>
      </w:r>
      <w:r>
        <w:rPr>
          <w:spacing w:val="-6"/>
          <w:sz w:val="30"/>
          <w:szCs w:val="30"/>
        </w:rPr>
        <w:br/>
        <w:t>Указ № 367 «О добровольном страховании дополнительной накопительной пенсии» (далее – Указ).  Указом с 1 октября 2022 г. предусмотрен дополнительный вид пенсионного страхования – добровольное страхование дополнительной накопительной пенсии с финансовой поддержкой государства.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целью применения в работе и информирования работников управление предоставляет информацию о применении данного Указа.</w:t>
      </w:r>
    </w:p>
    <w:p>
      <w:pPr>
        <w:ind w:firstLine="709"/>
        <w:jc w:val="both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Приложение: на 3 л. в 1 экз.</w:t>
      </w:r>
    </w:p>
    <w:p>
      <w:pPr>
        <w:spacing w:line="360" w:lineRule="auto"/>
        <w:ind w:firstLine="709"/>
        <w:jc w:val="both"/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                                                 </w:t>
      </w:r>
      <w:proofErr w:type="spellStart"/>
      <w:r>
        <w:rPr>
          <w:sz w:val="30"/>
          <w:szCs w:val="30"/>
        </w:rPr>
        <w:t>А.М.Кейко</w:t>
      </w:r>
      <w:proofErr w:type="spellEnd"/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30"/>
          <w:szCs w:val="30"/>
        </w:rPr>
      </w:pPr>
    </w:p>
    <w:p>
      <w:pPr>
        <w:tabs>
          <w:tab w:val="left" w:pos="6804"/>
        </w:tabs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Белявская 611205</w:t>
      </w: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spacing w:line="180" w:lineRule="exact"/>
        <w:jc w:val="both"/>
        <w:rPr>
          <w:sz w:val="18"/>
          <w:szCs w:val="18"/>
        </w:rPr>
      </w:pPr>
    </w:p>
    <w:p>
      <w:pPr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lastRenderedPageBreak/>
        <w:t xml:space="preserve">Добровольное страхование дополнительной накопительной пенсии  </w:t>
      </w:r>
    </w:p>
    <w:p>
      <w:pPr>
        <w:jc w:val="center"/>
        <w:rPr>
          <w:sz w:val="30"/>
          <w:szCs w:val="30"/>
        </w:rPr>
      </w:pPr>
    </w:p>
    <w:p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27 сентября 2021 г. Президентом Республики Беларусь подписан </w:t>
      </w:r>
      <w:r>
        <w:rPr>
          <w:spacing w:val="-6"/>
          <w:sz w:val="30"/>
          <w:szCs w:val="30"/>
        </w:rPr>
        <w:br/>
        <w:t>Указ № 367 «О добровольном страховании дополнительной накопительной пенсии»  (далее – Указ). Указом с 1 октября 2022 г. предусмотрен дополнительный вид пенсионного страхования – добровольное страхование дополнительной накопительной пенсии с финансовой поддержкой государства.</w:t>
      </w:r>
    </w:p>
    <w:p>
      <w:pPr>
        <w:widowControl w:val="0"/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появление новой добровольной пенсионной программы </w:t>
      </w:r>
      <w:r>
        <w:rPr>
          <w:sz w:val="30"/>
          <w:szCs w:val="30"/>
        </w:rPr>
        <w:br/>
        <w:t>не затрагивает государственные обязательства по солидарной пенсионной системе. Конституционные гарантии по социальному обеспечению граждан в старости, инвалидности, в случае потери кормильца остаются неизменными. Все гарантии государства по трудовым пенсиям и их повышению будут неукоснительно выполняться.</w:t>
      </w:r>
    </w:p>
    <w:p>
      <w:pPr>
        <w:widowControl w:val="0"/>
        <w:autoSpaceDE w:val="0"/>
        <w:autoSpaceDN w:val="0"/>
        <w:adjustRightInd w:val="0"/>
        <w:ind w:right="51" w:firstLine="709"/>
        <w:jc w:val="both"/>
        <w:rPr>
          <w:b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ind w:right="51"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Как будет работать новая программа</w:t>
      </w:r>
    </w:p>
    <w:p>
      <w:pPr>
        <w:widowControl w:val="0"/>
        <w:autoSpaceDE w:val="0"/>
        <w:autoSpaceDN w:val="0"/>
        <w:adjustRightInd w:val="0"/>
        <w:ind w:right="49"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Работник, желающий участвовать в страховании сможет уплачивать дополнительный взнос на накопительную пенсию 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взноса работника – </w:t>
      </w:r>
      <w:r>
        <w:rPr>
          <w:b/>
          <w:bCs/>
          <w:sz w:val="30"/>
          <w:szCs w:val="30"/>
        </w:rPr>
        <w:t>10%</w:t>
      </w:r>
      <w:r>
        <w:rPr>
          <w:bCs/>
          <w:sz w:val="30"/>
          <w:szCs w:val="30"/>
        </w:rPr>
        <w:t xml:space="preserve">. </w:t>
      </w:r>
    </w:p>
    <w:p>
      <w:pPr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>
        <w:rPr>
          <w:sz w:val="30"/>
          <w:szCs w:val="30"/>
        </w:rPr>
        <w:t xml:space="preserve">в размере взноса работника, но </w:t>
      </w:r>
      <w:r>
        <w:rPr>
          <w:b/>
          <w:sz w:val="30"/>
          <w:szCs w:val="30"/>
        </w:rPr>
        <w:t>не более 3%</w:t>
      </w:r>
      <w:r>
        <w:rPr>
          <w:sz w:val="30"/>
          <w:szCs w:val="30"/>
        </w:rPr>
        <w:t xml:space="preserve">. 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участников новой программы предусмотрены и другие </w:t>
      </w:r>
      <w:r>
        <w:rPr>
          <w:b/>
          <w:sz w:val="30"/>
          <w:szCs w:val="30"/>
          <w:u w:val="single"/>
        </w:rPr>
        <w:t>финансовые стимулы: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b/>
          <w:sz w:val="30"/>
          <w:szCs w:val="30"/>
        </w:rPr>
        <w:t>льгота по подоходному налогу</w:t>
      </w:r>
      <w:r>
        <w:rPr>
          <w:sz w:val="30"/>
          <w:szCs w:val="30"/>
        </w:rPr>
        <w:t>. Так, работникам предоставляется право на получение социального налогового вычета на сумму уплаченных за счет средств работника страховых взносов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на будущую накопительную </w:t>
      </w:r>
      <w:r>
        <w:rPr>
          <w:sz w:val="30"/>
          <w:szCs w:val="30"/>
        </w:rPr>
        <w:lastRenderedPageBreak/>
        <w:t>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накопительные пенсии также освобождаются от подоходного налога с физических лиц.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b/>
          <w:sz w:val="30"/>
          <w:szCs w:val="30"/>
        </w:rPr>
        <w:t>возможность наследования</w:t>
      </w:r>
      <w:r>
        <w:rPr>
          <w:sz w:val="30"/>
          <w:szCs w:val="30"/>
        </w:rPr>
        <w:t xml:space="preserve"> пенсионных накоплений;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– </w:t>
      </w:r>
      <w:r>
        <w:rPr>
          <w:b/>
          <w:spacing w:val="-6"/>
          <w:sz w:val="30"/>
          <w:szCs w:val="30"/>
        </w:rPr>
        <w:t>гарантия сохранности</w:t>
      </w:r>
      <w:r>
        <w:rPr>
          <w:spacing w:val="-6"/>
          <w:sz w:val="30"/>
          <w:szCs w:val="30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государственную страховую организацию –  республиканское унитарное страховое предприятие «</w:t>
      </w:r>
      <w:proofErr w:type="spellStart"/>
      <w:r>
        <w:rPr>
          <w:spacing w:val="-6"/>
          <w:sz w:val="30"/>
          <w:szCs w:val="30"/>
        </w:rPr>
        <w:t>Стравита</w:t>
      </w:r>
      <w:proofErr w:type="spellEnd"/>
      <w:r>
        <w:rPr>
          <w:spacing w:val="-6"/>
          <w:sz w:val="30"/>
          <w:szCs w:val="30"/>
        </w:rPr>
        <w:t xml:space="preserve">».  Государство гарантирует страховые выплаты по договорам страхования, заключенным этим страховым предприятием. 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>
        <w:rPr>
          <w:sz w:val="30"/>
          <w:szCs w:val="30"/>
        </w:rPr>
        <w:t>Стравита</w:t>
      </w:r>
      <w:proofErr w:type="spellEnd"/>
      <w:r>
        <w:rPr>
          <w:sz w:val="30"/>
          <w:szCs w:val="30"/>
        </w:rPr>
        <w:t xml:space="preserve">» или правопреемником этой страховой организации (в необходимых случаях – с привлечением государственных средств).  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Кто может участвовать в новом страховании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Право участвовать в программе предоставлено </w:t>
      </w:r>
      <w:r>
        <w:rPr>
          <w:bCs/>
          <w:sz w:val="30"/>
          <w:szCs w:val="30"/>
        </w:rPr>
        <w:t>работникам</w:t>
      </w:r>
      <w:r>
        <w:rPr>
          <w:sz w:val="30"/>
          <w:szCs w:val="30"/>
        </w:rPr>
        <w:t>, за которых их работодателями уплачиваются обязательные взносы в бюджет фонда социальной 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Начинать участвовать в новом страховании можно не позднее, чем за 3 года до достижения общеустановленного пенсионного возраста. Ограничение связано с тем, что при менее продолжительных сроках участия накопленные средства и результаты от их инвестирования объективно не смогут стать существенными.</w:t>
      </w:r>
      <w:bookmarkStart w:id="0" w:name="_GoBack"/>
      <w:bookmarkEnd w:id="0"/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Размер будущей накопительной пенсии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>
        <w:rPr>
          <w:sz w:val="30"/>
          <w:szCs w:val="30"/>
        </w:rPr>
        <w:t>Стравита</w:t>
      </w:r>
      <w:proofErr w:type="spellEnd"/>
      <w:r>
        <w:rPr>
          <w:sz w:val="30"/>
          <w:szCs w:val="30"/>
        </w:rPr>
        <w:t>».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на сумму пенсии в месяц повлияет и выбранный работником срок ее получения – 5 либо 10 лет. На данном этапе такой период получения дополнительной пенсии является оптимальным – ее размер более ощутим для человека (при удлинении периода выплаты пенсии </w:t>
      </w:r>
      <w:r>
        <w:rPr>
          <w:sz w:val="30"/>
          <w:szCs w:val="30"/>
        </w:rPr>
        <w:lastRenderedPageBreak/>
        <w:t xml:space="preserve">размеры накопительных пенсий уменьшаются). 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желании работника формировать пожизненную 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Как начать участвовать в новой программе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Работникам, желающим формировать дополнительную накопительную пенсию, необходимо обращаться в</w:t>
      </w:r>
      <w:r>
        <w:rPr>
          <w:sz w:val="30"/>
          <w:szCs w:val="30"/>
        </w:rPr>
        <w:br/>
        <w:t>РУСП «</w:t>
      </w:r>
      <w:proofErr w:type="spellStart"/>
      <w:r>
        <w:rPr>
          <w:sz w:val="30"/>
          <w:szCs w:val="30"/>
        </w:rPr>
        <w:t>Стравита</w:t>
      </w:r>
      <w:proofErr w:type="spellEnd"/>
      <w:r>
        <w:rPr>
          <w:sz w:val="30"/>
          <w:szCs w:val="30"/>
        </w:rPr>
        <w:t>» по адресу г. Гродно, ул. Карла Маркса, д.24. Подать заявление и заключить договор можно при личном визите в эту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>
      <w:pPr>
        <w:rPr>
          <w:b/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851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5E9"/>
    <w:multiLevelType w:val="hybridMultilevel"/>
    <w:tmpl w:val="E8D823F4"/>
    <w:lvl w:ilvl="0" w:tplc="EFE26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017AF8"/>
    <w:multiLevelType w:val="hybridMultilevel"/>
    <w:tmpl w:val="9ED85E1E"/>
    <w:lvl w:ilvl="0" w:tplc="F15CE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93E779-8BFF-4B1F-9E10-0FD898FD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  <w:rPr>
      <w:rFonts w:ascii="Arial" w:hAnsi="Arial"/>
      <w:sz w:val="24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pPr>
      <w:spacing w:after="12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sz w:val="24"/>
      <w:szCs w:val="24"/>
      <w:lang w:val="pl-PL" w:eastAsia="pl-PL"/>
    </w:rPr>
  </w:style>
  <w:style w:type="paragraph" w:customStyle="1" w:styleId="a9">
    <w:name w:val="Знак"/>
    <w:basedOn w:val="a"/>
    <w:autoRedefine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locked/>
    <w:rPr>
      <w:rFonts w:ascii="Arial" w:hAnsi="Arial" w:cs="Arial"/>
      <w:sz w:val="28"/>
      <w:lang w:val="ru-RU" w:eastAsia="ru-RU" w:bidi="ar-SA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autoRedefine/>
    <w:pPr>
      <w:spacing w:after="160" w:line="240" w:lineRule="exact"/>
      <w:ind w:left="360"/>
    </w:pPr>
    <w:rPr>
      <w:sz w:val="28"/>
      <w:lang w:val="en-US" w:eastAsia="en-U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</w:style>
  <w:style w:type="paragraph" w:styleId="ac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sz w:val="24"/>
      <w:szCs w:val="24"/>
    </w:rPr>
  </w:style>
  <w:style w:type="paragraph" w:styleId="ad">
    <w:name w:val="No Spacing"/>
    <w:link w:val="ae"/>
    <w:uiPriority w:val="99"/>
    <w:qFormat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a5">
    <w:name w:val="Основной текст с отступом Знак"/>
    <w:basedOn w:val="a0"/>
    <w:link w:val="a4"/>
    <w:rPr>
      <w:rFonts w:ascii="Arial" w:hAnsi="Arial"/>
      <w:sz w:val="24"/>
    </w:rPr>
  </w:style>
  <w:style w:type="character" w:customStyle="1" w:styleId="ae">
    <w:name w:val="Без интервала Знак"/>
    <w:link w:val="ad"/>
    <w:uiPriority w:val="99"/>
    <w:locked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02D7-DEC2-40FA-9B73-59A460A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РОБ63</dc:creator>
  <cp:lastModifiedBy>user</cp:lastModifiedBy>
  <cp:revision>3</cp:revision>
  <cp:lastPrinted>2017-06-01T07:03:00Z</cp:lastPrinted>
  <dcterms:created xsi:type="dcterms:W3CDTF">2023-05-22T11:29:00Z</dcterms:created>
  <dcterms:modified xsi:type="dcterms:W3CDTF">2023-05-22T11:29:00Z</dcterms:modified>
</cp:coreProperties>
</file>